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D925" w14:textId="77777777" w:rsidR="00976945" w:rsidRPr="00976945" w:rsidRDefault="00976945" w:rsidP="00976945">
      <w:pPr>
        <w:spacing w:line="360" w:lineRule="auto"/>
        <w:jc w:val="both"/>
        <w:rPr>
          <w:rFonts w:ascii="Invesco Interstate Bold" w:hAnsi="Invesco Interstate Bold"/>
          <w:b/>
          <w:bCs/>
          <w:sz w:val="28"/>
          <w:szCs w:val="28"/>
        </w:rPr>
      </w:pPr>
      <w:r w:rsidRPr="00976945">
        <w:rPr>
          <w:rFonts w:ascii="Invesco Interstate Bold" w:hAnsi="Invesco Interstate Bold"/>
          <w:b/>
          <w:bCs/>
          <w:sz w:val="28"/>
          <w:szCs w:val="28"/>
        </w:rPr>
        <w:t xml:space="preserve">Jak moc mohou vydělávat aktivně řízená ETF? </w:t>
      </w:r>
    </w:p>
    <w:p w14:paraId="0AF7787E" w14:textId="77777777" w:rsidR="00263C5E" w:rsidRDefault="00263C5E" w:rsidP="00034B4E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36E8822D" w14:textId="77777777" w:rsidR="00976945" w:rsidRPr="00847FBC" w:rsidRDefault="00976945" w:rsidP="00976945">
      <w:pPr>
        <w:spacing w:line="240" w:lineRule="auto"/>
        <w:rPr>
          <w:rFonts w:ascii="Open Sans" w:hAnsi="Open Sans" w:cs="Open Sans"/>
          <w:b/>
          <w:bCs/>
          <w:color w:val="000000"/>
          <w:sz w:val="21"/>
          <w:szCs w:val="21"/>
          <w:lang w:eastAsia="cs-CZ"/>
        </w:rPr>
      </w:pPr>
      <w:r w:rsidRPr="00847FBC">
        <w:rPr>
          <w:rFonts w:ascii="Open Sans" w:hAnsi="Open Sans" w:cs="Open Sans"/>
          <w:b/>
          <w:bCs/>
          <w:color w:val="000000"/>
          <w:sz w:val="21"/>
          <w:szCs w:val="21"/>
          <w:lang w:eastAsia="cs-CZ"/>
        </w:rPr>
        <w:t>Aktivně řízené ETF nadále výrazně získávají na popularitě v celé Evropě. Počet aktivních ETF vzrostl z pouhých 37 fondů před šesti lety na více než 400 v současnosti, přičemž objem spravovaných aktiv evropských aktivních ETF překonal hranici 120 miliard USD. V rámci tohoto rychle rostoucího trhu patří mezi nejdynamičtěji se rozvíjející segmenty systematické strategie nahrazující tradiční pasivní „</w:t>
      </w:r>
      <w:proofErr w:type="spellStart"/>
      <w:r w:rsidRPr="00847FBC">
        <w:rPr>
          <w:rFonts w:ascii="Open Sans" w:hAnsi="Open Sans" w:cs="Open Sans"/>
          <w:b/>
          <w:bCs/>
          <w:color w:val="000000"/>
          <w:sz w:val="21"/>
          <w:szCs w:val="21"/>
          <w:lang w:eastAsia="cs-CZ"/>
        </w:rPr>
        <w:t>core</w:t>
      </w:r>
      <w:proofErr w:type="spellEnd"/>
      <w:r w:rsidRPr="00847FBC">
        <w:rPr>
          <w:rFonts w:ascii="Open Sans" w:hAnsi="Open Sans" w:cs="Open Sans"/>
          <w:b/>
          <w:bCs/>
          <w:color w:val="000000"/>
          <w:sz w:val="21"/>
          <w:szCs w:val="21"/>
          <w:lang w:eastAsia="cs-CZ"/>
        </w:rPr>
        <w:t xml:space="preserve"> beta“ expozici.</w:t>
      </w:r>
    </w:p>
    <w:p w14:paraId="6E7AD912" w14:textId="77777777" w:rsidR="001B0A44" w:rsidRPr="001B0A44" w:rsidRDefault="001B0A44" w:rsidP="001B0A44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4601C1A" w14:textId="77777777" w:rsidR="00976945" w:rsidRP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Jedním z takových fondů je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Global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Enhanced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Equity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UCITS ETF. Od uvedení na trh v květnu 2025 fond zaznamenal značný zájem investorů a během prvního roku své existence navýšil objem spravovaných aktiv na více než 700 milionů USD. Ve stejném období strategie překonala svůj benchmark o 5,17 %. </w:t>
      </w:r>
    </w:p>
    <w:p w14:paraId="4622BBA1" w14:textId="77777777" w:rsidR="00976945" w:rsidRP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D84F371" w14:textId="77777777" w:rsidR="00976945" w:rsidRP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Global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Enhanced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Equity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UCITS ETF přitom využívá přístup označovaný jako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enhanced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indexing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. Zachovává rizikové i výnosové charakteristiky globálního akciového indexu, zároveň však zaujímá aktivní investiční pozice založené na třech osvědčených investičních faktorech – kvalitě (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Quality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), momentu (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Momentum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) a hodnotě (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Value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).</w:t>
      </w:r>
    </w:p>
    <w:p w14:paraId="307C1BBB" w14:textId="77777777" w:rsidR="00976945" w:rsidRP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4409B12" w14:textId="77777777" w:rsid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Fond ale neusiluje pouze o kopírování benchmarku. Prostřednictvím systematického investičního procesu vyhledává atraktivně oceněné akcie v rámci globálního trhu velkých a středně velkých společností s cílem dlouhodobě dosahovat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nadvýkonnosti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při zachování rizikového profilu blízkého referenčnímu indexu. Stojí tak na pomezí pasivního a aktivního investování – spojuje efektivitu indexového přístupu s přidanou hodnotou disciplinovaného výběru akcií založeného na investičních faktorech.</w:t>
      </w:r>
    </w:p>
    <w:p w14:paraId="607B8640" w14:textId="77777777" w:rsid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7AD5B93" w14:textId="109EEC59" w:rsid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noProof/>
          <w:lang w:val="en-GB"/>
        </w:rPr>
        <w:lastRenderedPageBreak/>
        <w:drawing>
          <wp:inline distT="0" distB="0" distL="0" distR="0" wp14:anchorId="3BDDD2EC" wp14:editId="47F1713D">
            <wp:extent cx="5760720" cy="3069590"/>
            <wp:effectExtent l="0" t="0" r="0" b="0"/>
            <wp:docPr id="15112877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1D16C" w14:textId="50C48879" w:rsidR="00976945" w:rsidRP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0"/>
          <w:szCs w:val="20"/>
          <w:lang w:eastAsia="ja-JP"/>
        </w:rPr>
      </w:pPr>
      <w:r w:rsidRPr="00976945">
        <w:rPr>
          <w:rFonts w:ascii="Invesco Interstate Light" w:eastAsia="MS Mincho" w:hAnsi="Invesco Interstate Light"/>
          <w:sz w:val="20"/>
          <w:szCs w:val="20"/>
          <w:lang w:eastAsia="ja-JP"/>
        </w:rPr>
        <w:t xml:space="preserve">Zdroj: </w:t>
      </w:r>
      <w:proofErr w:type="spellStart"/>
      <w:r w:rsidRPr="00976945">
        <w:rPr>
          <w:rFonts w:ascii="Invesco Interstate Light" w:eastAsia="MS Mincho" w:hAnsi="Invesco Interstate Light"/>
          <w:sz w:val="20"/>
          <w:szCs w:val="20"/>
          <w:lang w:eastAsia="ja-JP"/>
        </w:rPr>
        <w:t>Invesco</w:t>
      </w:r>
      <w:proofErr w:type="spellEnd"/>
      <w:r w:rsidRPr="00976945">
        <w:rPr>
          <w:rFonts w:ascii="Invesco Interstate Light" w:eastAsia="MS Mincho" w:hAnsi="Invesco Interstate Light"/>
          <w:sz w:val="20"/>
          <w:szCs w:val="20"/>
          <w:lang w:eastAsia="ja-JP"/>
        </w:rPr>
        <w:t>, 2026</w:t>
      </w:r>
    </w:p>
    <w:p w14:paraId="0BD23EDA" w14:textId="77777777" w:rsid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C12CA61" w14:textId="77777777" w:rsid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ETF je aktivně spravováno týmem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Quantitative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Strategies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(IQS) a jeho cílem je nabídnout širokou expozici vůči globálním akciovým trhům při snaze překonávat index MSCI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World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. Tento přístup typu „beta“ systematicky přidává ověřený zdroj alfy ke složce portfolia, která u investorů často představuje základní („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core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“) akciovou alokaci.</w:t>
      </w:r>
    </w:p>
    <w:p w14:paraId="25869A82" w14:textId="77777777" w:rsid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0A42ABC" w14:textId="77777777" w:rsidR="00976945" w:rsidRP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Hlavní přednosti strategie:</w:t>
      </w:r>
    </w:p>
    <w:p w14:paraId="1508528E" w14:textId="77777777" w:rsidR="00976945" w:rsidRPr="00976945" w:rsidRDefault="00976945" w:rsidP="00976945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Vyšší potenciál výnosu</w:t>
      </w:r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– Přístup ke strategii s úspěšnou historií reálného investování sahající až do roku 2005, jejímž cílem je dosahovat přibližně o 1 % vyššího ročního výnosu než benchmark. </w:t>
      </w:r>
    </w:p>
    <w:p w14:paraId="7B53C668" w14:textId="77777777" w:rsidR="00976945" w:rsidRPr="00976945" w:rsidRDefault="00976945" w:rsidP="00976945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Nízká odchylka od benchmarku (</w:t>
      </w:r>
      <w:proofErr w:type="spellStart"/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tracking</w:t>
      </w:r>
      <w:proofErr w:type="spellEnd"/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</w:t>
      </w:r>
      <w:proofErr w:type="spellStart"/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error</w:t>
      </w:r>
      <w:proofErr w:type="spellEnd"/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)</w:t>
      </w:r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– Strategie usiluje o dosažení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nadvýnosu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při zachování velmi podobného rizikového profilu jako index MSCI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World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. Cílový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tracking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error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činí 1,0–1,5 %. </w:t>
      </w:r>
    </w:p>
    <w:p w14:paraId="57EF8628" w14:textId="77777777" w:rsidR="00976945" w:rsidRPr="00976945" w:rsidRDefault="00976945" w:rsidP="00976945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Zkušená aktivní správa</w:t>
      </w:r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– Tým IQS využívá disciplinovaný investiční proces založený na faktorech </w:t>
      </w:r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hodnota (</w:t>
      </w:r>
      <w:proofErr w:type="spellStart"/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Value</w:t>
      </w:r>
      <w:proofErr w:type="spellEnd"/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), kvalita (</w:t>
      </w:r>
      <w:proofErr w:type="spellStart"/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Quality</w:t>
      </w:r>
      <w:proofErr w:type="spellEnd"/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)</w:t>
      </w:r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 </w:t>
      </w:r>
      <w:proofErr w:type="spellStart"/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momentum</w:t>
      </w:r>
      <w:proofErr w:type="spellEnd"/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(</w:t>
      </w:r>
      <w:proofErr w:type="spellStart"/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Momentum</w:t>
      </w:r>
      <w:proofErr w:type="spellEnd"/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)</w:t>
      </w:r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, přičemž důsledně kontroluje obrat portfolia i expozice vůči jednotlivým zemím, sektorům a titulům. </w:t>
      </w:r>
    </w:p>
    <w:p w14:paraId="1AFA8879" w14:textId="77777777" w:rsidR="00976945" w:rsidRPr="00976945" w:rsidRDefault="00976945" w:rsidP="00976945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7694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Efektivní ETF struktura</w:t>
      </w:r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– S ročním manažerským poplatkem ve výši pouhých 0,24 % představuje ETF nákladově efektivní řešení pro investory hledající základní globální akciovou expozici. </w:t>
      </w:r>
    </w:p>
    <w:p w14:paraId="18523891" w14:textId="77777777" w:rsidR="00976945" w:rsidRP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550C567" w14:textId="77777777" w:rsid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Strategie stojí na kombinaci vlastních definic faktorů, které tým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Invesca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vyvíjí a zdokonaluje na základě desetiletí výzkumu. S využitím více než 40 let zkušeností v oblasti kvantitativního investování a více než 20leté historie reálného investování tým aplikuje systematický proces konstrukce portfolia, který identifikuje atraktivní investiční příležitosti napříč širokým spektrem likvidních akcií velkých a středně velkých společností na rozvinutých trzích.</w:t>
      </w:r>
    </w:p>
    <w:p w14:paraId="0A5B371F" w14:textId="77777777" w:rsidR="00F65857" w:rsidRPr="00976945" w:rsidRDefault="00F65857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6B1D923" w14:textId="77777777" w:rsidR="00976945" w:rsidRP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Prostře</w:t>
      </w:r>
      <w:r w:rsidRPr="00F6585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dnictvím vlastního optimalizačního modelu tým hodnotí jednotlivé akcie podle hodnoty, kvality a </w:t>
      </w:r>
      <w:proofErr w:type="spellStart"/>
      <w:r w:rsidRPr="00F65857">
        <w:rPr>
          <w:rFonts w:ascii="Invesco Interstate Light" w:eastAsia="MS Mincho" w:hAnsi="Invesco Interstate Light"/>
          <w:sz w:val="22"/>
          <w:szCs w:val="22"/>
          <w:lang w:eastAsia="ja-JP"/>
        </w:rPr>
        <w:t>momenta</w:t>
      </w:r>
      <w:proofErr w:type="spellEnd"/>
      <w:r w:rsidRPr="00F6585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a vytváří diverzifikované portfolio s cílem dosahovat konzistentního dlouhodobého překonávání trhu.</w:t>
      </w:r>
    </w:p>
    <w:p w14:paraId="798625A1" w14:textId="0B45D381" w:rsid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795A8E">
        <w:rPr>
          <w:rFonts w:ascii="Open Sans" w:hAnsi="Open Sans" w:cs="Open Sans"/>
          <w:noProof/>
          <w:color w:val="000000"/>
          <w:sz w:val="21"/>
          <w:szCs w:val="21"/>
          <w:lang w:eastAsia="cs-CZ"/>
        </w:rPr>
        <w:drawing>
          <wp:inline distT="0" distB="0" distL="0" distR="0" wp14:anchorId="10CFBEED" wp14:editId="0CDC5362">
            <wp:extent cx="5760720" cy="3087370"/>
            <wp:effectExtent l="0" t="0" r="0" b="0"/>
            <wp:docPr id="7648381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3811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FD741" w14:textId="6B1236DD" w:rsidR="00976945" w:rsidRP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0"/>
          <w:szCs w:val="20"/>
          <w:lang w:eastAsia="ja-JP"/>
        </w:rPr>
      </w:pPr>
      <w:r w:rsidRPr="00976945">
        <w:rPr>
          <w:rFonts w:ascii="Invesco Interstate Light" w:eastAsia="MS Mincho" w:hAnsi="Invesco Interstate Light"/>
          <w:sz w:val="20"/>
          <w:szCs w:val="20"/>
          <w:lang w:eastAsia="ja-JP"/>
        </w:rPr>
        <w:t xml:space="preserve">Zdroj: </w:t>
      </w:r>
      <w:proofErr w:type="spellStart"/>
      <w:r w:rsidRPr="00976945">
        <w:rPr>
          <w:rFonts w:ascii="Invesco Interstate Light" w:eastAsia="MS Mincho" w:hAnsi="Invesco Interstate Light"/>
          <w:sz w:val="20"/>
          <w:szCs w:val="20"/>
          <w:lang w:eastAsia="ja-JP"/>
        </w:rPr>
        <w:t>Invesco</w:t>
      </w:r>
      <w:proofErr w:type="spellEnd"/>
      <w:r w:rsidRPr="00976945">
        <w:rPr>
          <w:rFonts w:ascii="Invesco Interstate Light" w:eastAsia="MS Mincho" w:hAnsi="Invesco Interstate Light"/>
          <w:sz w:val="20"/>
          <w:szCs w:val="20"/>
          <w:lang w:eastAsia="ja-JP"/>
        </w:rPr>
        <w:t>, 2026</w:t>
      </w:r>
    </w:p>
    <w:p w14:paraId="77323A61" w14:textId="77777777" w:rsid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1A72856" w14:textId="77777777" w:rsidR="00976945" w:rsidRP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Společnost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, která je průkopníkem aktivně řízených ETF v regionu EMEA od roku 2011 (a v USA již od roku 2008), propojuje odborné znalosti svých týmů zaměřených na akcie, dluhopisy i komodity prostřednictvím plně integrované globální ETF platformy. Od začátku letošního roku se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mezi poskytovateli aktivních UCITS ETF umístilo na prvním místě podle čistého přílivu nových prostředků (Net New </w:t>
      </w:r>
      <w:proofErr w:type="spellStart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Assets</w:t>
      </w:r>
      <w:proofErr w:type="spellEnd"/>
      <w:r w:rsidRPr="00976945">
        <w:rPr>
          <w:rFonts w:ascii="Invesco Interstate Light" w:eastAsia="MS Mincho" w:hAnsi="Invesco Interstate Light"/>
          <w:sz w:val="22"/>
          <w:szCs w:val="22"/>
          <w:lang w:eastAsia="ja-JP"/>
        </w:rPr>
        <w:t>, NNA).</w:t>
      </w:r>
    </w:p>
    <w:p w14:paraId="03EADB3A" w14:textId="77777777" w:rsidR="00976945" w:rsidRPr="00976945" w:rsidRDefault="00976945" w:rsidP="0097694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CE8D2A7" w14:textId="77777777" w:rsidR="00D67D74" w:rsidRDefault="00D67D74" w:rsidP="00263C5E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</w:p>
    <w:p w14:paraId="03B9E29D" w14:textId="77777777" w:rsidR="00F65857" w:rsidRDefault="00F65857" w:rsidP="00263C5E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</w:p>
    <w:p w14:paraId="7BF77D56" w14:textId="685E4640" w:rsidR="00497B07" w:rsidRPr="00B96402" w:rsidRDefault="4E481D2D" w:rsidP="00263C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val="de-DE" w:eastAsia="ja-JP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lastRenderedPageBreak/>
        <w:t xml:space="preserve">O společnosti </w:t>
      </w:r>
      <w:proofErr w:type="spellStart"/>
      <w:r w:rsidRPr="00654055">
        <w:rPr>
          <w:rFonts w:ascii="Invesco Interstate Light" w:hAnsi="Invesco Interstate Light"/>
          <w:b/>
          <w:bCs/>
          <w:sz w:val="22"/>
          <w:szCs w:val="22"/>
        </w:rPr>
        <w:t>Invesco</w:t>
      </w:r>
      <w:proofErr w:type="spellEnd"/>
    </w:p>
    <w:p w14:paraId="24C71C80" w14:textId="77777777" w:rsidR="008F44AF" w:rsidRPr="00654055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Österreich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– pobočka pobočky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 xml:space="preserve">jsou součástí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Ltd., společnosti pro správu aktiv se spravovanými aktivy v hodnotě více než 1 593 miliard USD (k 31. říjnu 2021).</w:t>
      </w:r>
    </w:p>
    <w:p w14:paraId="7AA022C4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6C62B52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 případě jakýchkoli dotazů nebo potřeby dalších informací se obraťte na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Valentin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Jakubow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>, telefon +49 69 29807-311.</w:t>
      </w:r>
    </w:p>
    <w:p w14:paraId="21CBC3FA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518F14CC" w14:textId="77777777" w:rsidR="00AA2953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Vydavatelem těchto informací v České republice je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An der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Welle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Red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Oak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ID: 1958016</w:t>
      </w:r>
    </w:p>
    <w:p w14:paraId="429F6599" w14:textId="77777777" w:rsidR="0020026C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F193651" w14:textId="17CD8621" w:rsidR="00861B48" w:rsidRPr="00AA2953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861B48">
        <w:rPr>
          <w:rFonts w:ascii="Invesco Interstate Light" w:hAnsi="Invesco Interstate Light"/>
          <w:b/>
          <w:sz w:val="22"/>
          <w:szCs w:val="22"/>
        </w:rPr>
        <w:t>Pro více informací kontaktujte:</w:t>
      </w:r>
    </w:p>
    <w:p w14:paraId="2D8CCFC3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Eliška Krohová</w:t>
      </w:r>
    </w:p>
    <w:p w14:paraId="6206EFAC" w14:textId="0E12027C" w:rsidR="002355DD" w:rsidRPr="0020026C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Crest Communications, a.s.</w:t>
      </w:r>
    </w:p>
    <w:p w14:paraId="3F25933E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proofErr w:type="spellStart"/>
      <w:r w:rsidRPr="00873CBF">
        <w:rPr>
          <w:rFonts w:ascii="Invesco Interstate Light" w:hAnsi="Invesco Interstate Light"/>
          <w:sz w:val="22"/>
          <w:szCs w:val="22"/>
        </w:rPr>
        <w:t>gsm</w:t>
      </w:r>
      <w:proofErr w:type="spellEnd"/>
      <w:r w:rsidRPr="00873CBF">
        <w:rPr>
          <w:rFonts w:ascii="Invesco Interstate Light" w:hAnsi="Invesco Interstate Light"/>
          <w:sz w:val="22"/>
          <w:szCs w:val="22"/>
        </w:rPr>
        <w:t>: + 420 720 406 659</w:t>
      </w:r>
    </w:p>
    <w:p w14:paraId="4ADA8001" w14:textId="78096E9A" w:rsidR="00B84512" w:rsidRPr="00907B79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 xml:space="preserve">e-mail: </w:t>
      </w:r>
      <w:hyperlink r:id="rId14" w:history="1">
        <w:r w:rsidRPr="00873CBF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907B79" w:rsidSect="004854C2">
      <w:headerReference w:type="default" r:id="rId15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D49B" w14:textId="77777777" w:rsidR="00263971" w:rsidRDefault="00263971">
      <w:r>
        <w:separator/>
      </w:r>
    </w:p>
  </w:endnote>
  <w:endnote w:type="continuationSeparator" w:id="0">
    <w:p w14:paraId="582FB8E4" w14:textId="77777777" w:rsidR="00263971" w:rsidRDefault="00263971">
      <w:r>
        <w:continuationSeparator/>
      </w:r>
    </w:p>
  </w:endnote>
  <w:endnote w:type="continuationNotice" w:id="1">
    <w:p w14:paraId="3536A866" w14:textId="77777777" w:rsidR="00263971" w:rsidRDefault="002639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8CDE" w14:textId="77777777" w:rsidR="00263971" w:rsidRDefault="00263971">
      <w:r>
        <w:separator/>
      </w:r>
    </w:p>
  </w:footnote>
  <w:footnote w:type="continuationSeparator" w:id="0">
    <w:p w14:paraId="572B3ADF" w14:textId="77777777" w:rsidR="00263971" w:rsidRDefault="00263971">
      <w:r>
        <w:continuationSeparator/>
      </w:r>
    </w:p>
  </w:footnote>
  <w:footnote w:type="continuationNotice" w:id="1">
    <w:p w14:paraId="795280D0" w14:textId="77777777" w:rsidR="00263971" w:rsidRDefault="002639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A5D358">
      <w:rPr>
        <w:rFonts w:ascii="Invesco Interstate Bold" w:hAnsi="Invesco Interstate Bold"/>
        <w:sz w:val="28"/>
        <w:szCs w:val="28"/>
      </w:rPr>
      <w:t xml:space="preserve">Press </w:t>
    </w:r>
    <w:proofErr w:type="spellStart"/>
    <w:r w:rsidR="59A5D358">
      <w:rPr>
        <w:rFonts w:ascii="Invesco Interstate Bold" w:hAnsi="Invesco Interstate Bold"/>
        <w:sz w:val="28"/>
        <w:szCs w:val="28"/>
      </w:rPr>
      <w:t>release</w:t>
    </w:r>
    <w:proofErr w:type="spellEnd"/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4E101721" w:rsidR="00702C33" w:rsidRPr="000730A6" w:rsidRDefault="00976945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7</w:t>
    </w:r>
    <w:r w:rsidR="0083625E">
      <w:rPr>
        <w:color w:val="000000"/>
        <w:sz w:val="28"/>
        <w:szCs w:val="28"/>
      </w:rPr>
      <w:t>.</w:t>
    </w:r>
    <w:r>
      <w:rPr>
        <w:color w:val="000000"/>
        <w:sz w:val="28"/>
        <w:szCs w:val="28"/>
      </w:rPr>
      <w:t>7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3D67B0">
      <w:rPr>
        <w:color w:val="000000"/>
        <w:sz w:val="28"/>
        <w:szCs w:val="28"/>
      </w:rPr>
      <w:t>6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D6C27"/>
    <w:multiLevelType w:val="multilevel"/>
    <w:tmpl w:val="C1FE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46D70"/>
    <w:multiLevelType w:val="multilevel"/>
    <w:tmpl w:val="11820CCE"/>
    <w:numStyleLink w:val="FormatvorlageAufgezhlt"/>
  </w:abstractNum>
  <w:abstractNum w:abstractNumId="16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30B23"/>
    <w:multiLevelType w:val="multilevel"/>
    <w:tmpl w:val="11820CCE"/>
    <w:numStyleLink w:val="FormatvorlageAufgezhlt"/>
  </w:abstractNum>
  <w:abstractNum w:abstractNumId="22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34BE7"/>
    <w:multiLevelType w:val="multilevel"/>
    <w:tmpl w:val="238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403C3"/>
    <w:multiLevelType w:val="multilevel"/>
    <w:tmpl w:val="11820CCE"/>
    <w:numStyleLink w:val="FormatvorlageAufgezhlt"/>
  </w:abstractNum>
  <w:abstractNum w:abstractNumId="32" w15:restartNumberingAfterBreak="0">
    <w:nsid w:val="6C6C4721"/>
    <w:multiLevelType w:val="multilevel"/>
    <w:tmpl w:val="11820CCE"/>
    <w:numStyleLink w:val="FormatvorlageAufgezhlt"/>
  </w:abstractNum>
  <w:abstractNum w:abstractNumId="33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B6BE8"/>
    <w:multiLevelType w:val="multilevel"/>
    <w:tmpl w:val="F49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E5380B"/>
    <w:multiLevelType w:val="multilevel"/>
    <w:tmpl w:val="11820CCE"/>
    <w:numStyleLink w:val="FormatvorlageAufgezhlt"/>
  </w:abstractNum>
  <w:abstractNum w:abstractNumId="36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023">
    <w:abstractNumId w:val="0"/>
  </w:num>
  <w:num w:numId="2" w16cid:durableId="165101048">
    <w:abstractNumId w:val="17"/>
  </w:num>
  <w:num w:numId="3" w16cid:durableId="1282105589">
    <w:abstractNumId w:val="28"/>
  </w:num>
  <w:num w:numId="4" w16cid:durableId="1617441895">
    <w:abstractNumId w:val="18"/>
  </w:num>
  <w:num w:numId="5" w16cid:durableId="1267425896">
    <w:abstractNumId w:val="21"/>
  </w:num>
  <w:num w:numId="6" w16cid:durableId="1792238606">
    <w:abstractNumId w:val="31"/>
  </w:num>
  <w:num w:numId="7" w16cid:durableId="190919629">
    <w:abstractNumId w:val="32"/>
  </w:num>
  <w:num w:numId="8" w16cid:durableId="2083285618">
    <w:abstractNumId w:val="1"/>
  </w:num>
  <w:num w:numId="9" w16cid:durableId="1653213567">
    <w:abstractNumId w:val="35"/>
  </w:num>
  <w:num w:numId="10" w16cid:durableId="849561851">
    <w:abstractNumId w:val="15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41"/>
  </w:num>
  <w:num w:numId="14" w16cid:durableId="2009676695">
    <w:abstractNumId w:val="42"/>
  </w:num>
  <w:num w:numId="15" w16cid:durableId="1629623239">
    <w:abstractNumId w:val="27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30"/>
  </w:num>
  <w:num w:numId="19" w16cid:durableId="832065860">
    <w:abstractNumId w:val="33"/>
  </w:num>
  <w:num w:numId="20" w16cid:durableId="667943464">
    <w:abstractNumId w:val="39"/>
  </w:num>
  <w:num w:numId="21" w16cid:durableId="225343112">
    <w:abstractNumId w:val="37"/>
  </w:num>
  <w:num w:numId="22" w16cid:durableId="1319532336">
    <w:abstractNumId w:val="14"/>
  </w:num>
  <w:num w:numId="23" w16cid:durableId="1341154147">
    <w:abstractNumId w:val="26"/>
  </w:num>
  <w:num w:numId="24" w16cid:durableId="796413596">
    <w:abstractNumId w:val="19"/>
  </w:num>
  <w:num w:numId="25" w16cid:durableId="2010979537">
    <w:abstractNumId w:val="40"/>
  </w:num>
  <w:num w:numId="26" w16cid:durableId="951936802">
    <w:abstractNumId w:val="24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6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6"/>
  </w:num>
  <w:num w:numId="33" w16cid:durableId="514879310">
    <w:abstractNumId w:val="23"/>
  </w:num>
  <w:num w:numId="34" w16cid:durableId="511531335">
    <w:abstractNumId w:val="20"/>
  </w:num>
  <w:num w:numId="35" w16cid:durableId="1821118983">
    <w:abstractNumId w:val="22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8"/>
  </w:num>
  <w:num w:numId="39" w16cid:durableId="1411855782">
    <w:abstractNumId w:val="29"/>
  </w:num>
  <w:num w:numId="40" w16cid:durableId="1680741308">
    <w:abstractNumId w:val="4"/>
  </w:num>
  <w:num w:numId="41" w16cid:durableId="1307934230">
    <w:abstractNumId w:val="25"/>
  </w:num>
  <w:num w:numId="42" w16cid:durableId="1547260435">
    <w:abstractNumId w:val="34"/>
  </w:num>
  <w:num w:numId="43" w16cid:durableId="5085700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38A9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4B4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77A79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3283"/>
    <w:rsid w:val="000D442D"/>
    <w:rsid w:val="000D4614"/>
    <w:rsid w:val="000D4A9F"/>
    <w:rsid w:val="000D54B1"/>
    <w:rsid w:val="000D54BF"/>
    <w:rsid w:val="000D5865"/>
    <w:rsid w:val="000D5B26"/>
    <w:rsid w:val="000D60B1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403D"/>
    <w:rsid w:val="0010411E"/>
    <w:rsid w:val="00104A41"/>
    <w:rsid w:val="00104C48"/>
    <w:rsid w:val="00105028"/>
    <w:rsid w:val="0010628B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958"/>
    <w:rsid w:val="00164CA4"/>
    <w:rsid w:val="001653A4"/>
    <w:rsid w:val="0016567D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44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40E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A08"/>
    <w:rsid w:val="001C439F"/>
    <w:rsid w:val="001C4DAE"/>
    <w:rsid w:val="001C5054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359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2A12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7B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688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3971"/>
    <w:rsid w:val="00263C5E"/>
    <w:rsid w:val="00264619"/>
    <w:rsid w:val="0026474E"/>
    <w:rsid w:val="002647C2"/>
    <w:rsid w:val="0026487E"/>
    <w:rsid w:val="0026495E"/>
    <w:rsid w:val="00264E9C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1FA2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446C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48D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7EC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DA2"/>
    <w:rsid w:val="00361E31"/>
    <w:rsid w:val="00361E62"/>
    <w:rsid w:val="00362109"/>
    <w:rsid w:val="00362710"/>
    <w:rsid w:val="003647F8"/>
    <w:rsid w:val="0036569C"/>
    <w:rsid w:val="0036612D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15AC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C6F4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67B0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30C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926"/>
    <w:rsid w:val="00405590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1B4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0D8"/>
    <w:rsid w:val="004B4A33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25E"/>
    <w:rsid w:val="004C73B4"/>
    <w:rsid w:val="004D0317"/>
    <w:rsid w:val="004D03DD"/>
    <w:rsid w:val="004D1118"/>
    <w:rsid w:val="004D11F2"/>
    <w:rsid w:val="004D1258"/>
    <w:rsid w:val="004D21A4"/>
    <w:rsid w:val="004D303F"/>
    <w:rsid w:val="004D32E9"/>
    <w:rsid w:val="004D4150"/>
    <w:rsid w:val="004D518E"/>
    <w:rsid w:val="004D5803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58B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16CC8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302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4F63"/>
    <w:rsid w:val="00625088"/>
    <w:rsid w:val="00625117"/>
    <w:rsid w:val="006254BE"/>
    <w:rsid w:val="00625782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0CB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1E12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063C"/>
    <w:rsid w:val="006A200C"/>
    <w:rsid w:val="006A27C8"/>
    <w:rsid w:val="006A2FA3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019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499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199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4F41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143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38"/>
    <w:rsid w:val="007E31FF"/>
    <w:rsid w:val="007E46DD"/>
    <w:rsid w:val="007E54BA"/>
    <w:rsid w:val="007E56F4"/>
    <w:rsid w:val="007E61AE"/>
    <w:rsid w:val="007E6FF3"/>
    <w:rsid w:val="007E7956"/>
    <w:rsid w:val="007F0994"/>
    <w:rsid w:val="007F1CC9"/>
    <w:rsid w:val="007F225B"/>
    <w:rsid w:val="007F26D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DB1"/>
    <w:rsid w:val="008233D4"/>
    <w:rsid w:val="008238FF"/>
    <w:rsid w:val="0082399F"/>
    <w:rsid w:val="008239C2"/>
    <w:rsid w:val="00824360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8DA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1182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C35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56FFF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6F3"/>
    <w:rsid w:val="00863CE0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4C3B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61C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420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9AB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5A07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1CBB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6945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690"/>
    <w:rsid w:val="009B290A"/>
    <w:rsid w:val="009B2A61"/>
    <w:rsid w:val="009B2AB8"/>
    <w:rsid w:val="009B2E17"/>
    <w:rsid w:val="009B3E43"/>
    <w:rsid w:val="009B5382"/>
    <w:rsid w:val="009B5A79"/>
    <w:rsid w:val="009B5F2C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492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6BBF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0EF3"/>
    <w:rsid w:val="00A11805"/>
    <w:rsid w:val="00A1273D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0614"/>
    <w:rsid w:val="00A41238"/>
    <w:rsid w:val="00A41792"/>
    <w:rsid w:val="00A42B45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1D69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B81"/>
    <w:rsid w:val="00AA0E30"/>
    <w:rsid w:val="00AA1965"/>
    <w:rsid w:val="00AA1A1F"/>
    <w:rsid w:val="00AA2953"/>
    <w:rsid w:val="00AA39AF"/>
    <w:rsid w:val="00AA3D1C"/>
    <w:rsid w:val="00AA42A2"/>
    <w:rsid w:val="00AA42B6"/>
    <w:rsid w:val="00AA4D2E"/>
    <w:rsid w:val="00AA61F2"/>
    <w:rsid w:val="00AA6559"/>
    <w:rsid w:val="00AA733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024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515"/>
    <w:rsid w:val="00B015F9"/>
    <w:rsid w:val="00B0183D"/>
    <w:rsid w:val="00B024AF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6402"/>
    <w:rsid w:val="00B973D7"/>
    <w:rsid w:val="00B97B75"/>
    <w:rsid w:val="00B97D67"/>
    <w:rsid w:val="00BA0C1E"/>
    <w:rsid w:val="00BA0FFB"/>
    <w:rsid w:val="00BA2966"/>
    <w:rsid w:val="00BA3582"/>
    <w:rsid w:val="00BA38D5"/>
    <w:rsid w:val="00BA42A0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593"/>
    <w:rsid w:val="00BD684B"/>
    <w:rsid w:val="00BD6D92"/>
    <w:rsid w:val="00BD6DE1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8FF"/>
    <w:rsid w:val="00BF3FE0"/>
    <w:rsid w:val="00BF4BA9"/>
    <w:rsid w:val="00BF6D55"/>
    <w:rsid w:val="00BF73B2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1C4F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27D35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6BCE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4089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603"/>
    <w:rsid w:val="00C92858"/>
    <w:rsid w:val="00C941EB"/>
    <w:rsid w:val="00C9465C"/>
    <w:rsid w:val="00C94C92"/>
    <w:rsid w:val="00C95E87"/>
    <w:rsid w:val="00C9665B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A7E1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563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E0837"/>
    <w:rsid w:val="00CE0D63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004A"/>
    <w:rsid w:val="00CF154F"/>
    <w:rsid w:val="00CF3286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27656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2D2"/>
    <w:rsid w:val="00D5484B"/>
    <w:rsid w:val="00D55031"/>
    <w:rsid w:val="00D56654"/>
    <w:rsid w:val="00D56709"/>
    <w:rsid w:val="00D60133"/>
    <w:rsid w:val="00D60C5E"/>
    <w:rsid w:val="00D61CF1"/>
    <w:rsid w:val="00D61D4C"/>
    <w:rsid w:val="00D61D6C"/>
    <w:rsid w:val="00D62166"/>
    <w:rsid w:val="00D62DDB"/>
    <w:rsid w:val="00D630FA"/>
    <w:rsid w:val="00D631C3"/>
    <w:rsid w:val="00D63C0B"/>
    <w:rsid w:val="00D6401C"/>
    <w:rsid w:val="00D669B3"/>
    <w:rsid w:val="00D66A0A"/>
    <w:rsid w:val="00D66EBA"/>
    <w:rsid w:val="00D67D74"/>
    <w:rsid w:val="00D7012F"/>
    <w:rsid w:val="00D71CCD"/>
    <w:rsid w:val="00D71F75"/>
    <w:rsid w:val="00D735BC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5FA"/>
    <w:rsid w:val="00DA0DA9"/>
    <w:rsid w:val="00DA0DE3"/>
    <w:rsid w:val="00DA148E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E48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1428"/>
    <w:rsid w:val="00DD2556"/>
    <w:rsid w:val="00DD2CDE"/>
    <w:rsid w:val="00DD3327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F0651"/>
    <w:rsid w:val="00DF0818"/>
    <w:rsid w:val="00DF08A2"/>
    <w:rsid w:val="00DF0BCA"/>
    <w:rsid w:val="00DF114B"/>
    <w:rsid w:val="00DF117D"/>
    <w:rsid w:val="00DF1B81"/>
    <w:rsid w:val="00DF1F6E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4967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6FF2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342"/>
    <w:rsid w:val="00EA249C"/>
    <w:rsid w:val="00EA2639"/>
    <w:rsid w:val="00EA297F"/>
    <w:rsid w:val="00EA2F70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77E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857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0868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3EC"/>
    <w:rsid w:val="00FD68F0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77BFD9C"/>
    <w:rsid w:val="4E481D2D"/>
    <w:rsid w:val="59A5D358"/>
    <w:rsid w:val="61727A13"/>
    <w:rsid w:val="741F2CED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F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png@01DD0D35.CD1731A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iska.krohova@crest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04B0-2F76-441B-B499-10EFE414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Performance</vt:lpstr>
    </vt:vector>
  </TitlesOfParts>
  <Company>INVESCO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Jana Bělochová | CrestCommunications a.s.</cp:lastModifiedBy>
  <cp:revision>2</cp:revision>
  <cp:lastPrinted>2021-02-17T20:24:00Z</cp:lastPrinted>
  <dcterms:created xsi:type="dcterms:W3CDTF">2026-07-07T12:10:00Z</dcterms:created>
  <dcterms:modified xsi:type="dcterms:W3CDTF">2026-07-07T12:10:00Z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